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</w:t>
      </w:r>
      <w:r>
        <w:rPr>
          <w:rFonts w:hint="eastAsia"/>
          <w:lang w:val="en-US" w:eastAsia="zh-CN"/>
        </w:rPr>
        <w:t>华中师范大学</w:t>
      </w:r>
      <w:r>
        <w:rPr>
          <w:rFonts w:hint="eastAsia"/>
        </w:rPr>
        <w:t>金融专硕真题回忆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有管理的浮动汇率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金融危机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到期收益率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商业银行信用风险管理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市场分隔理论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金融8个理论 信息成本 （具体想不起来了 米什金书上有）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结合货币传导政策阐述新常态下我国的货币政策（？大概是这个意思）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偿债指标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capm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apv和wacc评价公司价值的不同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计算题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可持续增长率 及其与实际增长率的关系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综合资本成本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B38ED"/>
    <w:rsid w:val="083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2021-08-16T07:31:00Z</dcterms:created>
  <dc:creator>湖北新文道网络部</dc:creator>
  <cp:lastModifiedBy>湖北新文道网络部</cp:lastModifiedBy>
  <dcterms:modified xsi:type="dcterms:W3CDTF">2021-08-16T07:32:17Z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24FEDE2ACFB746E9A4FCED16BBAB6D84</vt:lpwstr>
  </property>
</Properties>
</file>